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01181B48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4DB3E2C" w14:textId="19694914" w:rsidR="00D52CCE" w:rsidRDefault="00D52CCE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12 Patterns of Inheritance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426AE79C" w:rsidR="008E39B4" w:rsidRPr="00811F13" w:rsidRDefault="00D2362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24F275B" wp14:editId="6D03B606">
                  <wp:extent cx="1243965" cy="1347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9147324" w14:textId="56463042" w:rsidR="009F1971" w:rsidRPr="00811F13" w:rsidRDefault="009F1971" w:rsidP="00530F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E3CED72" w14:textId="77777777" w:rsidR="005C30C7" w:rsidRDefault="005C30C7" w:rsidP="005C30C7">
            <w:r>
              <w:t>the contribution of both environmental and genetic factors to phenotypic variation</w:t>
            </w:r>
          </w:p>
          <w:p w14:paraId="194966BD" w14:textId="77777777" w:rsidR="005C30C7" w:rsidRDefault="005C30C7" w:rsidP="005C30C7">
            <w:r>
              <w:t>how sexual reproduction can lead to genetic variation within a species</w:t>
            </w:r>
          </w:p>
          <w:p w14:paraId="757259ED" w14:textId="77777777" w:rsidR="005C30C7" w:rsidRPr="005C30C7" w:rsidRDefault="005C30C7" w:rsidP="005C30C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How to use genetic diagrams to show patterns of inheritance</w:t>
            </w:r>
          </w:p>
          <w:p w14:paraId="09DE5432" w14:textId="37CC276A" w:rsidR="005C30C7" w:rsidRPr="005C30C7" w:rsidRDefault="005C30C7" w:rsidP="005C30C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How to use phenotypic ratios to identify linkage (autosomal and sex linkage) and Epistasis</w:t>
            </w:r>
          </w:p>
          <w:p w14:paraId="26EE1D1D" w14:textId="77777777" w:rsidR="005C30C7" w:rsidRPr="005C30C7" w:rsidRDefault="005C30C7" w:rsidP="005C30C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use of the chi-squared (χ2) test to determine the significance of the difference between observed and expected results</w:t>
            </w:r>
          </w:p>
          <w:p w14:paraId="7F1FBF67" w14:textId="796F8E39" w:rsidR="005C30C7" w:rsidRPr="005C30C7" w:rsidRDefault="005C30C7" w:rsidP="005C30C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genetic basis of continuous and discontinuous variation</w:t>
            </w:r>
          </w:p>
          <w:p w14:paraId="4732170B" w14:textId="1D2E777B" w:rsidR="005C30C7" w:rsidRPr="005C30C7" w:rsidRDefault="005C30C7" w:rsidP="005C30C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factors that can affect the evolution of a species</w:t>
            </w:r>
          </w:p>
          <w:p w14:paraId="4C1E2F49" w14:textId="77777777" w:rsidR="005C30C7" w:rsidRPr="005C30C7" w:rsidRDefault="005C30C7" w:rsidP="005C30C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use of the Hardy–Weinberg principle to calculate allele frequencies in populations</w:t>
            </w:r>
          </w:p>
          <w:p w14:paraId="725EAFD6" w14:textId="77777777" w:rsidR="005C30C7" w:rsidRPr="005C30C7" w:rsidRDefault="005C30C7" w:rsidP="005C30C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Pr="00D808CB">
              <w:t>he role of isolating mechanisms in the evolution of new species</w:t>
            </w:r>
          </w:p>
          <w:p w14:paraId="03BB2AD0" w14:textId="7010C4B0" w:rsidR="005C30C7" w:rsidRPr="005C30C7" w:rsidRDefault="005C30C7" w:rsidP="005C30C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Pr="00D808CB">
              <w:t>he principles of artificial selection and its uses</w:t>
            </w:r>
          </w:p>
          <w:p w14:paraId="3166D78F" w14:textId="2FBBBE17" w:rsidR="005C30C7" w:rsidRPr="005C30C7" w:rsidRDefault="005C30C7" w:rsidP="005C30C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Pr="00D808CB">
              <w:t>he ethical considerations surrounding the use of artificial selection</w:t>
            </w: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2B801506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1CD9FD4E" w14:textId="77777777" w:rsidR="00813E80" w:rsidRDefault="00813E80" w:rsidP="00813E80">
            <w:r>
              <w:t xml:space="preserve">Agriculture   </w:t>
            </w:r>
            <w:proofErr w:type="gramStart"/>
            <w:r>
              <w:t>Audiology  Biochemistry</w:t>
            </w:r>
            <w:proofErr w:type="gramEnd"/>
            <w:r>
              <w:t xml:space="preserve">  Biotechnology  Brewing  Dentistry  Dietetics  Ecology  Environmental Health  Environmental science  Fisheries Work  Food Science  Forensics  Horticulture  Laboratory Work  Marine Biology  Medicine  Nursing  Occupational Therapy  </w:t>
            </w:r>
            <w:proofErr w:type="spellStart"/>
            <w:r>
              <w:t>Opthalmics</w:t>
            </w:r>
            <w:proofErr w:type="spellEnd"/>
            <w:r>
              <w:t xml:space="preserve"> and Orthoptics  Paramedical Science  Pharmacology  Physiotherapy  Prosthetics and Orthotics  Psychiatry  Radiography  Speech Therapy  Sports Science  Teaching  Veterinary Work  Zoology</w:t>
            </w:r>
          </w:p>
          <w:p w14:paraId="6BB35C85" w14:textId="77777777" w:rsidR="00813E80" w:rsidRPr="00351843" w:rsidRDefault="00813E80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546418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E4F13" w14:textId="77777777" w:rsidR="00546418" w:rsidRDefault="00546418" w:rsidP="00017B74">
      <w:pPr>
        <w:spacing w:after="0" w:line="240" w:lineRule="auto"/>
      </w:pPr>
      <w:r>
        <w:separator/>
      </w:r>
    </w:p>
  </w:endnote>
  <w:endnote w:type="continuationSeparator" w:id="0">
    <w:p w14:paraId="63B1FBA3" w14:textId="77777777" w:rsidR="00546418" w:rsidRDefault="00546418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AEAA9" w14:textId="77777777" w:rsidR="00546418" w:rsidRDefault="00546418" w:rsidP="00017B74">
      <w:pPr>
        <w:spacing w:after="0" w:line="240" w:lineRule="auto"/>
      </w:pPr>
      <w:r>
        <w:separator/>
      </w:r>
    </w:p>
  </w:footnote>
  <w:footnote w:type="continuationSeparator" w:id="0">
    <w:p w14:paraId="6F3106AD" w14:textId="77777777" w:rsidR="00546418" w:rsidRDefault="00546418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C5E63"/>
    <w:multiLevelType w:val="hybridMultilevel"/>
    <w:tmpl w:val="8FC2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519A2"/>
    <w:rsid w:val="0007415F"/>
    <w:rsid w:val="000D6C87"/>
    <w:rsid w:val="00227ECC"/>
    <w:rsid w:val="00245FA1"/>
    <w:rsid w:val="002B0167"/>
    <w:rsid w:val="00351843"/>
    <w:rsid w:val="003D3C0A"/>
    <w:rsid w:val="003D66AA"/>
    <w:rsid w:val="003E6B6F"/>
    <w:rsid w:val="00440E6C"/>
    <w:rsid w:val="00487E07"/>
    <w:rsid w:val="004C3F18"/>
    <w:rsid w:val="004C534E"/>
    <w:rsid w:val="00530FB1"/>
    <w:rsid w:val="00546418"/>
    <w:rsid w:val="005949E3"/>
    <w:rsid w:val="005C30C7"/>
    <w:rsid w:val="005F2B3F"/>
    <w:rsid w:val="005F4E99"/>
    <w:rsid w:val="007146EF"/>
    <w:rsid w:val="007812DF"/>
    <w:rsid w:val="00811F13"/>
    <w:rsid w:val="00813E80"/>
    <w:rsid w:val="0083335D"/>
    <w:rsid w:val="00847F4E"/>
    <w:rsid w:val="00867D25"/>
    <w:rsid w:val="008B1952"/>
    <w:rsid w:val="008E39B4"/>
    <w:rsid w:val="009A7682"/>
    <w:rsid w:val="009F1971"/>
    <w:rsid w:val="00A01B24"/>
    <w:rsid w:val="00A049B8"/>
    <w:rsid w:val="00A23F48"/>
    <w:rsid w:val="00A314F1"/>
    <w:rsid w:val="00B16723"/>
    <w:rsid w:val="00BA166B"/>
    <w:rsid w:val="00BA646E"/>
    <w:rsid w:val="00C25D47"/>
    <w:rsid w:val="00C83FDD"/>
    <w:rsid w:val="00C94AF5"/>
    <w:rsid w:val="00CA59AB"/>
    <w:rsid w:val="00CC3584"/>
    <w:rsid w:val="00D047DD"/>
    <w:rsid w:val="00D23623"/>
    <w:rsid w:val="00D52CCE"/>
    <w:rsid w:val="00DB0006"/>
    <w:rsid w:val="00DC23A5"/>
    <w:rsid w:val="00E5371A"/>
    <w:rsid w:val="00E607D5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EB179-DF12-41C1-BE25-C4F0D5DDE189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6</cp:revision>
  <cp:lastPrinted>2022-05-09T09:04:00Z</cp:lastPrinted>
  <dcterms:created xsi:type="dcterms:W3CDTF">2022-06-16T11:04:00Z</dcterms:created>
  <dcterms:modified xsi:type="dcterms:W3CDTF">2022-06-22T13:24:00Z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